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D2" w:rsidRDefault="00A65AD2">
      <w:pPr>
        <w:rPr>
          <w:b/>
          <w:sz w:val="24"/>
          <w:szCs w:val="24"/>
          <w:u w:val="single"/>
        </w:rPr>
      </w:pPr>
      <w:bookmarkStart w:id="0" w:name="_GoBack"/>
      <w:bookmarkEnd w:id="0"/>
      <w:r>
        <w:rPr>
          <w:b/>
          <w:sz w:val="24"/>
          <w:szCs w:val="24"/>
          <w:u w:val="single"/>
        </w:rPr>
        <w:t>Pupil Premium 2018 – 19</w:t>
      </w:r>
    </w:p>
    <w:p w:rsidR="00A65AD2" w:rsidRPr="00A65AD2" w:rsidRDefault="00A65AD2">
      <w:pPr>
        <w:rPr>
          <w:sz w:val="24"/>
          <w:szCs w:val="24"/>
        </w:rPr>
      </w:pPr>
      <w:r>
        <w:rPr>
          <w:sz w:val="24"/>
          <w:szCs w:val="24"/>
        </w:rPr>
        <w:t xml:space="preserve">We currently have 7.8% of pupils receiving pupil premium. Money this year is being spent towards Forest School training for staff. Chess tuition to develop deeper thinking. Individual music tuition to provide wider opportunities. Focussed literacy teaching through team teaching will start at </w:t>
      </w:r>
      <w:proofErr w:type="gramStart"/>
      <w:r>
        <w:rPr>
          <w:sz w:val="24"/>
          <w:szCs w:val="24"/>
        </w:rPr>
        <w:t>Spring</w:t>
      </w:r>
      <w:proofErr w:type="gramEnd"/>
      <w:r>
        <w:rPr>
          <w:sz w:val="24"/>
          <w:szCs w:val="24"/>
        </w:rPr>
        <w:t xml:space="preserve"> half term. Current data shows that all pupil premium children except those with specific learning difficulties are making expected or better progress.</w:t>
      </w:r>
    </w:p>
    <w:p w:rsidR="00A65AD2" w:rsidRDefault="00A65AD2">
      <w:pPr>
        <w:rPr>
          <w:b/>
          <w:sz w:val="24"/>
          <w:szCs w:val="24"/>
          <w:u w:val="single"/>
        </w:rPr>
      </w:pPr>
    </w:p>
    <w:p w:rsidR="008F78BF" w:rsidRDefault="004C10D4">
      <w:pPr>
        <w:rPr>
          <w:b/>
          <w:sz w:val="24"/>
          <w:szCs w:val="24"/>
          <w:u w:val="single"/>
        </w:rPr>
      </w:pPr>
      <w:r w:rsidRPr="00EA1CE6">
        <w:rPr>
          <w:b/>
          <w:sz w:val="24"/>
          <w:szCs w:val="24"/>
          <w:u w:val="single"/>
        </w:rPr>
        <w:t xml:space="preserve">Impact of pupil premium </w:t>
      </w:r>
      <w:r w:rsidR="00F61241">
        <w:rPr>
          <w:b/>
          <w:sz w:val="24"/>
          <w:szCs w:val="24"/>
          <w:u w:val="single"/>
        </w:rPr>
        <w:t>expenditure</w:t>
      </w:r>
      <w:r w:rsidR="00EA1CE6">
        <w:rPr>
          <w:b/>
          <w:sz w:val="24"/>
          <w:szCs w:val="24"/>
          <w:u w:val="single"/>
        </w:rPr>
        <w:t xml:space="preserve"> 2017 </w:t>
      </w:r>
      <w:r w:rsidR="008269AC">
        <w:rPr>
          <w:b/>
          <w:sz w:val="24"/>
          <w:szCs w:val="24"/>
          <w:u w:val="single"/>
        </w:rPr>
        <w:t>–</w:t>
      </w:r>
      <w:r w:rsidR="00EA1CE6">
        <w:rPr>
          <w:b/>
          <w:sz w:val="24"/>
          <w:szCs w:val="24"/>
          <w:u w:val="single"/>
        </w:rPr>
        <w:t xml:space="preserve"> 2018</w:t>
      </w:r>
    </w:p>
    <w:p w:rsidR="008269AC" w:rsidRPr="00E0508B" w:rsidRDefault="008269AC" w:rsidP="008269AC">
      <w:pPr>
        <w:rPr>
          <w:sz w:val="24"/>
          <w:szCs w:val="24"/>
        </w:rPr>
      </w:pPr>
      <w:r w:rsidRPr="00E0508B">
        <w:rPr>
          <w:sz w:val="24"/>
          <w:szCs w:val="24"/>
        </w:rPr>
        <w:t>At Smallwood we currently have 8% of our pupils who receive pupil premium. This means that no class has more than 2 or 3 pupils and some have fewer. We currently have 1 pupil who receives pupil premium plus. Within our pupil premium group we have 2 pupils who are also SEN</w:t>
      </w:r>
      <w:r w:rsidR="008F7B06" w:rsidRPr="00E0508B">
        <w:rPr>
          <w:sz w:val="24"/>
          <w:szCs w:val="24"/>
        </w:rPr>
        <w:t>, we have a further 2 pupils who are receiving support for emotional well-being</w:t>
      </w:r>
      <w:r w:rsidRPr="00E0508B">
        <w:rPr>
          <w:sz w:val="24"/>
          <w:szCs w:val="24"/>
        </w:rPr>
        <w:t>. With such a small number of pupils it is very difficult to compare their performance accurately against the rest of the school.</w:t>
      </w:r>
    </w:p>
    <w:p w:rsidR="0002700C" w:rsidRPr="00E0508B" w:rsidRDefault="0002700C" w:rsidP="0002700C">
      <w:pPr>
        <w:pStyle w:val="Default"/>
        <w:rPr>
          <w:rFonts w:asciiTheme="minorHAnsi" w:hAnsiTheme="minorHAnsi" w:cstheme="minorHAnsi"/>
          <w:color w:val="auto"/>
        </w:rPr>
      </w:pPr>
      <w:r w:rsidRPr="00E0508B">
        <w:rPr>
          <w:rFonts w:asciiTheme="minorHAnsi" w:hAnsiTheme="minorHAnsi" w:cstheme="minorHAnsi"/>
          <w:color w:val="auto"/>
        </w:rPr>
        <w:t>This year we received £</w:t>
      </w:r>
      <w:r w:rsidR="00391AFE">
        <w:rPr>
          <w:rFonts w:asciiTheme="minorHAnsi" w:hAnsiTheme="minorHAnsi" w:cstheme="minorHAnsi"/>
          <w:color w:val="auto"/>
        </w:rPr>
        <w:t>15,165</w:t>
      </w:r>
      <w:r w:rsidRPr="00E0508B">
        <w:rPr>
          <w:rFonts w:asciiTheme="minorHAnsi" w:hAnsiTheme="minorHAnsi" w:cstheme="minorHAnsi"/>
          <w:color w:val="auto"/>
        </w:rPr>
        <w:t xml:space="preserve"> to support pupil premium pupils. Over the year we have spent money on the following areas</w:t>
      </w:r>
      <w:r w:rsidR="0057382B" w:rsidRPr="00E0508B">
        <w:rPr>
          <w:rFonts w:asciiTheme="minorHAnsi" w:hAnsiTheme="minorHAnsi" w:cstheme="minorHAnsi"/>
          <w:color w:val="auto"/>
        </w:rPr>
        <w:t>; please note that the total expenditure is not always listed as items may also be</w:t>
      </w:r>
      <w:r w:rsidR="00B642AF" w:rsidRPr="00E0508B">
        <w:rPr>
          <w:rFonts w:asciiTheme="minorHAnsi" w:hAnsiTheme="minorHAnsi" w:cstheme="minorHAnsi"/>
          <w:color w:val="auto"/>
        </w:rPr>
        <w:t xml:space="preserve"> part</w:t>
      </w:r>
      <w:r w:rsidR="0057382B" w:rsidRPr="00E0508B">
        <w:rPr>
          <w:rFonts w:asciiTheme="minorHAnsi" w:hAnsiTheme="minorHAnsi" w:cstheme="minorHAnsi"/>
          <w:color w:val="auto"/>
        </w:rPr>
        <w:t xml:space="preserve"> funded from other budgets</w:t>
      </w:r>
      <w:r w:rsidRPr="00E0508B">
        <w:rPr>
          <w:rFonts w:asciiTheme="minorHAnsi" w:hAnsiTheme="minorHAnsi" w:cstheme="minorHAnsi"/>
          <w:color w:val="auto"/>
        </w:rPr>
        <w:t>.</w:t>
      </w:r>
    </w:p>
    <w:p w:rsidR="0002700C" w:rsidRDefault="0002700C" w:rsidP="0002700C">
      <w:pPr>
        <w:pStyle w:val="Default"/>
        <w:rPr>
          <w:rFonts w:asciiTheme="minorHAnsi" w:hAnsiTheme="minorHAnsi" w:cstheme="minorHAnsi"/>
          <w:color w:val="auto"/>
        </w:rPr>
      </w:pPr>
    </w:p>
    <w:tbl>
      <w:tblPr>
        <w:tblStyle w:val="TableGrid"/>
        <w:tblW w:w="10461" w:type="dxa"/>
        <w:tblLook w:val="04A0" w:firstRow="1" w:lastRow="0" w:firstColumn="1" w:lastColumn="0" w:noHBand="0" w:noVBand="1"/>
      </w:tblPr>
      <w:tblGrid>
        <w:gridCol w:w="2484"/>
        <w:gridCol w:w="1622"/>
        <w:gridCol w:w="2835"/>
        <w:gridCol w:w="3520"/>
      </w:tblGrid>
      <w:tr w:rsidR="0002700C" w:rsidTr="00E0508B">
        <w:trPr>
          <w:trHeight w:val="266"/>
        </w:trPr>
        <w:tc>
          <w:tcPr>
            <w:tcW w:w="2484" w:type="dxa"/>
          </w:tcPr>
          <w:p w:rsidR="0002700C" w:rsidRPr="00704B31" w:rsidRDefault="0002700C"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Item</w:t>
            </w:r>
          </w:p>
        </w:tc>
        <w:tc>
          <w:tcPr>
            <w:tcW w:w="1622" w:type="dxa"/>
          </w:tcPr>
          <w:p w:rsidR="0002700C" w:rsidRPr="00704B31" w:rsidRDefault="0002700C"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Expenditure</w:t>
            </w:r>
          </w:p>
        </w:tc>
        <w:tc>
          <w:tcPr>
            <w:tcW w:w="2835" w:type="dxa"/>
          </w:tcPr>
          <w:p w:rsidR="0002700C" w:rsidRPr="00704B31" w:rsidRDefault="0002700C"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Intended Outcome</w:t>
            </w:r>
          </w:p>
        </w:tc>
        <w:tc>
          <w:tcPr>
            <w:tcW w:w="3520" w:type="dxa"/>
          </w:tcPr>
          <w:p w:rsidR="0002700C" w:rsidRPr="00704B31" w:rsidRDefault="0002700C"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Impact</w:t>
            </w:r>
          </w:p>
        </w:tc>
      </w:tr>
      <w:tr w:rsidR="0002700C" w:rsidTr="00E0508B">
        <w:trPr>
          <w:trHeight w:val="1055"/>
        </w:trPr>
        <w:tc>
          <w:tcPr>
            <w:tcW w:w="2484" w:type="dxa"/>
          </w:tcPr>
          <w:p w:rsidR="0002700C" w:rsidRPr="00704B31" w:rsidRDefault="0002700C"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Beanstalk 1:1 Reading support Personalised reading tuition 2x weekly for 6 pupils</w:t>
            </w:r>
          </w:p>
        </w:tc>
        <w:tc>
          <w:tcPr>
            <w:tcW w:w="1622" w:type="dxa"/>
          </w:tcPr>
          <w:p w:rsidR="0002700C" w:rsidRPr="00704B31" w:rsidRDefault="0002700C"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£1</w:t>
            </w:r>
            <w:r w:rsidR="00B642AF" w:rsidRPr="00704B31">
              <w:rPr>
                <w:rFonts w:asciiTheme="minorHAnsi" w:hAnsiTheme="minorHAnsi" w:cstheme="minorHAnsi"/>
                <w:color w:val="auto"/>
                <w:sz w:val="22"/>
                <w:szCs w:val="22"/>
              </w:rPr>
              <w:t>,</w:t>
            </w:r>
            <w:r w:rsidRPr="00704B31">
              <w:rPr>
                <w:rFonts w:asciiTheme="minorHAnsi" w:hAnsiTheme="minorHAnsi" w:cstheme="minorHAnsi"/>
                <w:color w:val="auto"/>
                <w:sz w:val="22"/>
                <w:szCs w:val="22"/>
              </w:rPr>
              <w:t>711</w:t>
            </w:r>
          </w:p>
        </w:tc>
        <w:tc>
          <w:tcPr>
            <w:tcW w:w="2835" w:type="dxa"/>
          </w:tcPr>
          <w:p w:rsidR="0002700C" w:rsidRPr="00704B31" w:rsidRDefault="0002700C"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To accelerate reading progress and raise attainment</w:t>
            </w:r>
          </w:p>
        </w:tc>
        <w:tc>
          <w:tcPr>
            <w:tcW w:w="3520" w:type="dxa"/>
          </w:tcPr>
          <w:p w:rsidR="0002700C" w:rsidRPr="00704B31" w:rsidRDefault="0002700C"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 xml:space="preserve">66.7% of pupils made more than expected progress </w:t>
            </w:r>
          </w:p>
          <w:p w:rsidR="0002700C" w:rsidRPr="00704B31" w:rsidRDefault="0002700C"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50% achieved greater depth</w:t>
            </w:r>
          </w:p>
        </w:tc>
      </w:tr>
      <w:tr w:rsidR="0002700C" w:rsidTr="00E0508B">
        <w:trPr>
          <w:trHeight w:val="1065"/>
        </w:trPr>
        <w:tc>
          <w:tcPr>
            <w:tcW w:w="2484" w:type="dxa"/>
          </w:tcPr>
          <w:p w:rsidR="0002700C" w:rsidRPr="00704B31" w:rsidRDefault="0057382B"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Chess teaching years 2 – 6 , 1 hour for a half term for each class</w:t>
            </w:r>
          </w:p>
        </w:tc>
        <w:tc>
          <w:tcPr>
            <w:tcW w:w="1622" w:type="dxa"/>
          </w:tcPr>
          <w:p w:rsidR="0002700C" w:rsidRPr="00704B31" w:rsidRDefault="0057382B"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£600</w:t>
            </w:r>
            <w:r w:rsidR="00B642AF" w:rsidRPr="00704B31">
              <w:rPr>
                <w:rFonts w:asciiTheme="minorHAnsi" w:hAnsiTheme="minorHAnsi" w:cstheme="minorHAnsi"/>
                <w:color w:val="auto"/>
                <w:sz w:val="22"/>
                <w:szCs w:val="22"/>
              </w:rPr>
              <w:t xml:space="preserve"> per term</w:t>
            </w:r>
          </w:p>
        </w:tc>
        <w:tc>
          <w:tcPr>
            <w:tcW w:w="2835" w:type="dxa"/>
          </w:tcPr>
          <w:p w:rsidR="0002700C" w:rsidRPr="00704B31" w:rsidRDefault="0057382B"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To increase planning and problem solving and develop thinking at greater depth</w:t>
            </w:r>
          </w:p>
        </w:tc>
        <w:tc>
          <w:tcPr>
            <w:tcW w:w="3520" w:type="dxa"/>
          </w:tcPr>
          <w:p w:rsidR="0002700C" w:rsidRPr="00704B31" w:rsidRDefault="0057382B"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40% making accelerated progress in maths – more time needed to fully measure impact</w:t>
            </w:r>
          </w:p>
        </w:tc>
      </w:tr>
      <w:tr w:rsidR="0057382B" w:rsidTr="00E0508B">
        <w:trPr>
          <w:trHeight w:val="1055"/>
        </w:trPr>
        <w:tc>
          <w:tcPr>
            <w:tcW w:w="2484" w:type="dxa"/>
          </w:tcPr>
          <w:p w:rsidR="0057382B" w:rsidRPr="00704B31" w:rsidRDefault="0057382B"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 xml:space="preserve">Forest School – 1 afternoon for a half term </w:t>
            </w:r>
            <w:r w:rsidR="00B642AF" w:rsidRPr="00704B31">
              <w:rPr>
                <w:rFonts w:asciiTheme="minorHAnsi" w:hAnsiTheme="minorHAnsi" w:cstheme="minorHAnsi"/>
                <w:color w:val="auto"/>
                <w:sz w:val="22"/>
                <w:szCs w:val="22"/>
              </w:rPr>
              <w:t>per class</w:t>
            </w:r>
          </w:p>
        </w:tc>
        <w:tc>
          <w:tcPr>
            <w:tcW w:w="1622" w:type="dxa"/>
          </w:tcPr>
          <w:p w:rsidR="0057382B" w:rsidRPr="00704B31" w:rsidRDefault="0057382B"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£1200 training</w:t>
            </w:r>
          </w:p>
          <w:p w:rsidR="0057382B" w:rsidRPr="00704B31" w:rsidRDefault="0057382B"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£2000 resources</w:t>
            </w:r>
          </w:p>
          <w:p w:rsidR="0057382B" w:rsidRPr="00704B31" w:rsidRDefault="0057382B" w:rsidP="00B642AF">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Staffing - £</w:t>
            </w:r>
            <w:r w:rsidR="00B642AF" w:rsidRPr="00704B31">
              <w:rPr>
                <w:rFonts w:asciiTheme="minorHAnsi" w:hAnsiTheme="minorHAnsi" w:cstheme="minorHAnsi"/>
                <w:color w:val="auto"/>
                <w:sz w:val="22"/>
                <w:szCs w:val="22"/>
              </w:rPr>
              <w:t>5,</w:t>
            </w:r>
            <w:r w:rsidRPr="00704B31">
              <w:rPr>
                <w:rFonts w:asciiTheme="minorHAnsi" w:hAnsiTheme="minorHAnsi" w:cstheme="minorHAnsi"/>
                <w:color w:val="auto"/>
                <w:sz w:val="22"/>
                <w:szCs w:val="22"/>
              </w:rPr>
              <w:t>500</w:t>
            </w:r>
          </w:p>
        </w:tc>
        <w:tc>
          <w:tcPr>
            <w:tcW w:w="2835" w:type="dxa"/>
          </w:tcPr>
          <w:p w:rsidR="0057382B" w:rsidRPr="00704B31" w:rsidRDefault="0057382B"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 xml:space="preserve">To develop emotional well-being, problem solving, resilience and planning skills. </w:t>
            </w:r>
          </w:p>
        </w:tc>
        <w:tc>
          <w:tcPr>
            <w:tcW w:w="3520" w:type="dxa"/>
          </w:tcPr>
          <w:p w:rsidR="0057382B" w:rsidRPr="00704B31" w:rsidRDefault="0057382B"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All pupils made expected progress accelerated progress in line or better than the rest of the school</w:t>
            </w:r>
          </w:p>
        </w:tc>
      </w:tr>
      <w:tr w:rsidR="0057382B" w:rsidTr="00E0508B">
        <w:trPr>
          <w:trHeight w:val="798"/>
        </w:trPr>
        <w:tc>
          <w:tcPr>
            <w:tcW w:w="2484" w:type="dxa"/>
          </w:tcPr>
          <w:p w:rsidR="0057382B" w:rsidRPr="00704B31" w:rsidRDefault="0057382B"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Well-being counselling and therapy – 1:1</w:t>
            </w:r>
          </w:p>
        </w:tc>
        <w:tc>
          <w:tcPr>
            <w:tcW w:w="1622" w:type="dxa"/>
          </w:tcPr>
          <w:p w:rsidR="0057382B" w:rsidRPr="00704B31" w:rsidRDefault="0057382B"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£245</w:t>
            </w:r>
          </w:p>
        </w:tc>
        <w:tc>
          <w:tcPr>
            <w:tcW w:w="2835" w:type="dxa"/>
          </w:tcPr>
          <w:p w:rsidR="0057382B" w:rsidRPr="00704B31" w:rsidRDefault="00B642AF"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Personalised support for well-being</w:t>
            </w:r>
          </w:p>
        </w:tc>
        <w:tc>
          <w:tcPr>
            <w:tcW w:w="3520" w:type="dxa"/>
          </w:tcPr>
          <w:p w:rsidR="0057382B" w:rsidRPr="00704B31" w:rsidRDefault="00B642AF"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2 x pupils supported, improved attendance and behaviour</w:t>
            </w:r>
          </w:p>
        </w:tc>
      </w:tr>
      <w:tr w:rsidR="00B642AF" w:rsidTr="00E0508B">
        <w:trPr>
          <w:trHeight w:val="522"/>
        </w:trPr>
        <w:tc>
          <w:tcPr>
            <w:tcW w:w="2484" w:type="dxa"/>
          </w:tcPr>
          <w:p w:rsidR="00B642AF" w:rsidRPr="00704B31" w:rsidRDefault="00B642AF"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Music lessons – 1:1 music tuition</w:t>
            </w:r>
          </w:p>
        </w:tc>
        <w:tc>
          <w:tcPr>
            <w:tcW w:w="1622" w:type="dxa"/>
          </w:tcPr>
          <w:p w:rsidR="00B642AF" w:rsidRPr="00704B31" w:rsidRDefault="00B642AF"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£875</w:t>
            </w:r>
          </w:p>
        </w:tc>
        <w:tc>
          <w:tcPr>
            <w:tcW w:w="2835" w:type="dxa"/>
          </w:tcPr>
          <w:p w:rsidR="00B642AF" w:rsidRPr="00704B31" w:rsidRDefault="00B642AF"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Wider opportunities and enrichment</w:t>
            </w:r>
          </w:p>
        </w:tc>
        <w:tc>
          <w:tcPr>
            <w:tcW w:w="3520" w:type="dxa"/>
          </w:tcPr>
          <w:p w:rsidR="00B642AF" w:rsidRPr="00704B31" w:rsidRDefault="00B642AF" w:rsidP="00B642AF">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 xml:space="preserve">Self-esteem </w:t>
            </w:r>
          </w:p>
        </w:tc>
      </w:tr>
      <w:tr w:rsidR="00B642AF" w:rsidTr="00E0508B">
        <w:trPr>
          <w:trHeight w:val="798"/>
        </w:trPr>
        <w:tc>
          <w:tcPr>
            <w:tcW w:w="2484" w:type="dxa"/>
          </w:tcPr>
          <w:p w:rsidR="00B642AF" w:rsidRPr="00704B31" w:rsidRDefault="00B642AF"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Subsidising trips, uniform and other needs</w:t>
            </w:r>
          </w:p>
        </w:tc>
        <w:tc>
          <w:tcPr>
            <w:tcW w:w="1622" w:type="dxa"/>
          </w:tcPr>
          <w:p w:rsidR="00B642AF" w:rsidRPr="00704B31" w:rsidRDefault="00B642AF" w:rsidP="00B642AF">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£4,350</w:t>
            </w:r>
          </w:p>
        </w:tc>
        <w:tc>
          <w:tcPr>
            <w:tcW w:w="2835" w:type="dxa"/>
          </w:tcPr>
          <w:p w:rsidR="00B642AF" w:rsidRPr="00704B31" w:rsidRDefault="00B642AF"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Equal opportunities</w:t>
            </w:r>
          </w:p>
        </w:tc>
        <w:tc>
          <w:tcPr>
            <w:tcW w:w="3520" w:type="dxa"/>
          </w:tcPr>
          <w:p w:rsidR="00B642AF" w:rsidRPr="00704B31" w:rsidRDefault="00B642AF" w:rsidP="00B642AF">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Pupils able to participate in all areas of the curriculum</w:t>
            </w:r>
          </w:p>
        </w:tc>
      </w:tr>
      <w:tr w:rsidR="00B642AF" w:rsidTr="00E0508B">
        <w:trPr>
          <w:trHeight w:val="798"/>
        </w:trPr>
        <w:tc>
          <w:tcPr>
            <w:tcW w:w="2484" w:type="dxa"/>
          </w:tcPr>
          <w:p w:rsidR="00B642AF" w:rsidRPr="00704B31" w:rsidRDefault="00704B31" w:rsidP="00704B31">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Well-being and Mental Health first aid kit training</w:t>
            </w:r>
          </w:p>
        </w:tc>
        <w:tc>
          <w:tcPr>
            <w:tcW w:w="1622" w:type="dxa"/>
          </w:tcPr>
          <w:p w:rsidR="00B642AF" w:rsidRPr="00704B31" w:rsidRDefault="00704B31" w:rsidP="00B642AF">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£600</w:t>
            </w:r>
          </w:p>
        </w:tc>
        <w:tc>
          <w:tcPr>
            <w:tcW w:w="2835" w:type="dxa"/>
          </w:tcPr>
          <w:p w:rsidR="00B642AF" w:rsidRPr="00704B31" w:rsidRDefault="00704B31"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Staff trained to identify and support vulnerable pupils</w:t>
            </w:r>
          </w:p>
        </w:tc>
        <w:tc>
          <w:tcPr>
            <w:tcW w:w="3520" w:type="dxa"/>
          </w:tcPr>
          <w:p w:rsidR="00B642AF" w:rsidRPr="00704B31" w:rsidRDefault="00704B31" w:rsidP="00704B31">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Pupil mentoring and support increased</w:t>
            </w:r>
          </w:p>
        </w:tc>
      </w:tr>
      <w:tr w:rsidR="00704B31" w:rsidTr="00E0508B">
        <w:trPr>
          <w:trHeight w:val="789"/>
        </w:trPr>
        <w:tc>
          <w:tcPr>
            <w:tcW w:w="2484" w:type="dxa"/>
          </w:tcPr>
          <w:p w:rsidR="00704B31" w:rsidRPr="00704B31" w:rsidRDefault="00704B31" w:rsidP="00704B31">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Restorative behaviour practice training</w:t>
            </w:r>
          </w:p>
        </w:tc>
        <w:tc>
          <w:tcPr>
            <w:tcW w:w="1622" w:type="dxa"/>
          </w:tcPr>
          <w:p w:rsidR="00704B31" w:rsidRPr="00704B31" w:rsidRDefault="00704B31" w:rsidP="00B642AF">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Training £450</w:t>
            </w:r>
          </w:p>
          <w:p w:rsidR="00704B31" w:rsidRPr="00704B31" w:rsidRDefault="00704B31" w:rsidP="00B642AF">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Cover £450</w:t>
            </w:r>
          </w:p>
        </w:tc>
        <w:tc>
          <w:tcPr>
            <w:tcW w:w="2835" w:type="dxa"/>
          </w:tcPr>
          <w:p w:rsidR="00704B31" w:rsidRPr="00704B31" w:rsidRDefault="00704B31" w:rsidP="0002700C">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Behaviour management training cascaded to all staff</w:t>
            </w:r>
          </w:p>
        </w:tc>
        <w:tc>
          <w:tcPr>
            <w:tcW w:w="3520" w:type="dxa"/>
          </w:tcPr>
          <w:p w:rsidR="00704B31" w:rsidRPr="00704B31" w:rsidRDefault="00704B31" w:rsidP="00704B31">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Whole school strategies for complex behaviour issues</w:t>
            </w:r>
          </w:p>
        </w:tc>
      </w:tr>
      <w:tr w:rsidR="00704B31" w:rsidTr="00E0508B">
        <w:trPr>
          <w:trHeight w:val="1642"/>
        </w:trPr>
        <w:tc>
          <w:tcPr>
            <w:tcW w:w="2484" w:type="dxa"/>
          </w:tcPr>
          <w:p w:rsidR="00704B31" w:rsidRPr="00704B31" w:rsidRDefault="00704B31" w:rsidP="00704B31">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Talk for writing adopted across the school</w:t>
            </w:r>
          </w:p>
        </w:tc>
        <w:tc>
          <w:tcPr>
            <w:tcW w:w="1622" w:type="dxa"/>
          </w:tcPr>
          <w:p w:rsidR="00704B31" w:rsidRPr="00704B31" w:rsidRDefault="00704B31" w:rsidP="00B642AF">
            <w:pPr>
              <w:pStyle w:val="Default"/>
              <w:rPr>
                <w:rFonts w:asciiTheme="minorHAnsi" w:hAnsiTheme="minorHAnsi" w:cstheme="minorHAnsi"/>
                <w:color w:val="auto"/>
                <w:sz w:val="22"/>
                <w:szCs w:val="22"/>
              </w:rPr>
            </w:pPr>
            <w:r w:rsidRPr="00704B31">
              <w:rPr>
                <w:rFonts w:asciiTheme="minorHAnsi" w:hAnsiTheme="minorHAnsi" w:cstheme="minorHAnsi"/>
                <w:color w:val="auto"/>
                <w:sz w:val="22"/>
                <w:szCs w:val="22"/>
              </w:rPr>
              <w:t>Training £4150</w:t>
            </w:r>
          </w:p>
          <w:p w:rsidR="00704B31" w:rsidRPr="00704B31" w:rsidRDefault="00704B31" w:rsidP="00B642AF">
            <w:pPr>
              <w:pStyle w:val="Default"/>
              <w:rPr>
                <w:rFonts w:asciiTheme="minorHAnsi" w:hAnsiTheme="minorHAnsi" w:cstheme="minorHAnsi"/>
                <w:color w:val="auto"/>
                <w:sz w:val="22"/>
                <w:szCs w:val="22"/>
              </w:rPr>
            </w:pPr>
          </w:p>
        </w:tc>
        <w:tc>
          <w:tcPr>
            <w:tcW w:w="2835" w:type="dxa"/>
          </w:tcPr>
          <w:p w:rsidR="00704B31" w:rsidRPr="00704B31" w:rsidRDefault="00704B31" w:rsidP="0002700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Raising standards in writing</w:t>
            </w:r>
          </w:p>
        </w:tc>
        <w:tc>
          <w:tcPr>
            <w:tcW w:w="3520" w:type="dxa"/>
          </w:tcPr>
          <w:p w:rsidR="00704B31" w:rsidRPr="00704B31" w:rsidRDefault="00704B31" w:rsidP="00704B3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100% of pupils made expected progress, 50% made accelerated progress. </w:t>
            </w:r>
            <w:r w:rsidR="00E0508B">
              <w:rPr>
                <w:rFonts w:asciiTheme="minorHAnsi" w:hAnsiTheme="minorHAnsi" w:cstheme="minorHAnsi"/>
                <w:color w:val="auto"/>
                <w:sz w:val="22"/>
                <w:szCs w:val="22"/>
              </w:rPr>
              <w:t xml:space="preserve">23% more pupils achieved expected attainment this year than last year, 7% more pupils achieved greater depth than last year.             </w:t>
            </w:r>
          </w:p>
        </w:tc>
      </w:tr>
      <w:tr w:rsidR="00E0508B" w:rsidTr="00F61241">
        <w:trPr>
          <w:trHeight w:val="1126"/>
        </w:trPr>
        <w:tc>
          <w:tcPr>
            <w:tcW w:w="2484" w:type="dxa"/>
          </w:tcPr>
          <w:p w:rsidR="00E0508B" w:rsidRPr="00704B31" w:rsidRDefault="00E0508B" w:rsidP="00704B31">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Targeted interventions </w:t>
            </w:r>
          </w:p>
        </w:tc>
        <w:tc>
          <w:tcPr>
            <w:tcW w:w="1622" w:type="dxa"/>
          </w:tcPr>
          <w:p w:rsidR="00E0508B" w:rsidRPr="00704B31" w:rsidRDefault="00E0508B" w:rsidP="00F61241">
            <w:pPr>
              <w:pStyle w:val="Default"/>
              <w:rPr>
                <w:rFonts w:asciiTheme="minorHAnsi" w:hAnsiTheme="minorHAnsi" w:cstheme="minorHAnsi"/>
                <w:color w:val="auto"/>
                <w:sz w:val="22"/>
                <w:szCs w:val="22"/>
              </w:rPr>
            </w:pPr>
            <w:r>
              <w:rPr>
                <w:rFonts w:asciiTheme="minorHAnsi" w:hAnsiTheme="minorHAnsi" w:cstheme="minorHAnsi"/>
                <w:color w:val="auto"/>
                <w:sz w:val="22"/>
                <w:szCs w:val="22"/>
              </w:rPr>
              <w:t>£</w:t>
            </w:r>
            <w:r w:rsidR="00F61241">
              <w:rPr>
                <w:rFonts w:asciiTheme="minorHAnsi" w:hAnsiTheme="minorHAnsi" w:cstheme="minorHAnsi"/>
                <w:color w:val="auto"/>
                <w:sz w:val="22"/>
                <w:szCs w:val="22"/>
              </w:rPr>
              <w:t>5</w:t>
            </w:r>
            <w:r>
              <w:rPr>
                <w:rFonts w:asciiTheme="minorHAnsi" w:hAnsiTheme="minorHAnsi" w:cstheme="minorHAnsi"/>
                <w:color w:val="auto"/>
                <w:sz w:val="22"/>
                <w:szCs w:val="22"/>
              </w:rPr>
              <w:t>,150</w:t>
            </w:r>
          </w:p>
        </w:tc>
        <w:tc>
          <w:tcPr>
            <w:tcW w:w="2835" w:type="dxa"/>
          </w:tcPr>
          <w:p w:rsidR="00E0508B" w:rsidRDefault="00E0508B" w:rsidP="0002700C">
            <w:pPr>
              <w:pStyle w:val="Default"/>
              <w:rPr>
                <w:rFonts w:asciiTheme="minorHAnsi" w:hAnsiTheme="minorHAnsi" w:cstheme="minorHAnsi"/>
                <w:color w:val="auto"/>
                <w:sz w:val="22"/>
                <w:szCs w:val="22"/>
              </w:rPr>
            </w:pPr>
            <w:r>
              <w:rPr>
                <w:rFonts w:asciiTheme="minorHAnsi" w:hAnsiTheme="minorHAnsi" w:cstheme="minorHAnsi"/>
                <w:color w:val="auto"/>
                <w:sz w:val="22"/>
                <w:szCs w:val="22"/>
              </w:rPr>
              <w:t>Small group support to raise standards</w:t>
            </w:r>
          </w:p>
        </w:tc>
        <w:tc>
          <w:tcPr>
            <w:tcW w:w="3520" w:type="dxa"/>
          </w:tcPr>
          <w:p w:rsidR="00F61241" w:rsidRDefault="00F61241" w:rsidP="00704B31">
            <w:pPr>
              <w:pStyle w:val="Default"/>
              <w:rPr>
                <w:rFonts w:asciiTheme="minorHAnsi" w:hAnsiTheme="minorHAnsi" w:cstheme="minorHAnsi"/>
                <w:color w:val="auto"/>
                <w:sz w:val="22"/>
                <w:szCs w:val="22"/>
              </w:rPr>
            </w:pPr>
            <w:r>
              <w:rPr>
                <w:rFonts w:asciiTheme="minorHAnsi" w:hAnsiTheme="minorHAnsi" w:cstheme="minorHAnsi"/>
                <w:color w:val="auto"/>
                <w:sz w:val="22"/>
                <w:szCs w:val="22"/>
              </w:rPr>
              <w:t>Pupils on average achieved</w:t>
            </w:r>
          </w:p>
          <w:p w:rsidR="00E0508B" w:rsidRDefault="00F61241" w:rsidP="00704B31">
            <w:pPr>
              <w:pStyle w:val="Default"/>
              <w:rPr>
                <w:rFonts w:asciiTheme="minorHAnsi" w:hAnsiTheme="minorHAnsi" w:cstheme="minorHAnsi"/>
                <w:color w:val="auto"/>
                <w:sz w:val="22"/>
                <w:szCs w:val="22"/>
              </w:rPr>
            </w:pPr>
            <w:r>
              <w:rPr>
                <w:rFonts w:asciiTheme="minorHAnsi" w:hAnsiTheme="minorHAnsi" w:cstheme="minorHAnsi"/>
                <w:color w:val="auto"/>
                <w:sz w:val="22"/>
                <w:szCs w:val="22"/>
              </w:rPr>
              <w:t>18 months progress writing</w:t>
            </w:r>
          </w:p>
          <w:p w:rsidR="00F61241" w:rsidRDefault="00F61241" w:rsidP="00704B31">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 months progress reading</w:t>
            </w:r>
          </w:p>
          <w:p w:rsidR="00F61241" w:rsidRDefault="00F61241" w:rsidP="00704B31">
            <w:pPr>
              <w:pStyle w:val="Default"/>
              <w:rPr>
                <w:rFonts w:asciiTheme="minorHAnsi" w:hAnsiTheme="minorHAnsi" w:cstheme="minorHAnsi"/>
                <w:color w:val="auto"/>
                <w:sz w:val="22"/>
                <w:szCs w:val="22"/>
              </w:rPr>
            </w:pPr>
            <w:r>
              <w:rPr>
                <w:rFonts w:asciiTheme="minorHAnsi" w:hAnsiTheme="minorHAnsi" w:cstheme="minorHAnsi"/>
                <w:color w:val="auto"/>
                <w:sz w:val="22"/>
                <w:szCs w:val="22"/>
              </w:rPr>
              <w:t>18 months progress maths</w:t>
            </w:r>
          </w:p>
        </w:tc>
      </w:tr>
    </w:tbl>
    <w:p w:rsidR="0002700C" w:rsidRPr="0002700C" w:rsidRDefault="0002700C" w:rsidP="0002700C">
      <w:pPr>
        <w:pStyle w:val="Default"/>
        <w:rPr>
          <w:rFonts w:asciiTheme="minorHAnsi" w:hAnsiTheme="minorHAnsi" w:cstheme="minorHAnsi"/>
          <w:color w:val="auto"/>
        </w:rPr>
      </w:pPr>
    </w:p>
    <w:p w:rsidR="008F7B06" w:rsidRPr="008269AC" w:rsidRDefault="00E0508B" w:rsidP="008269AC">
      <w:pPr>
        <w:rPr>
          <w:sz w:val="24"/>
          <w:szCs w:val="24"/>
        </w:rPr>
      </w:pPr>
      <w:r>
        <w:rPr>
          <w:sz w:val="24"/>
          <w:szCs w:val="24"/>
        </w:rPr>
        <w:t>Total expenditure £2</w:t>
      </w:r>
      <w:r w:rsidR="00F61241">
        <w:rPr>
          <w:sz w:val="24"/>
          <w:szCs w:val="24"/>
        </w:rPr>
        <w:t>5</w:t>
      </w:r>
      <w:r>
        <w:rPr>
          <w:sz w:val="24"/>
          <w:szCs w:val="24"/>
        </w:rPr>
        <w:t>,481</w:t>
      </w:r>
    </w:p>
    <w:p w:rsidR="008269AC" w:rsidRDefault="008269AC">
      <w:pPr>
        <w:rPr>
          <w:sz w:val="24"/>
          <w:szCs w:val="24"/>
        </w:rPr>
      </w:pPr>
    </w:p>
    <w:p w:rsidR="00F61241" w:rsidRDefault="00F61241">
      <w:pPr>
        <w:rPr>
          <w:sz w:val="24"/>
          <w:szCs w:val="24"/>
        </w:rPr>
      </w:pPr>
    </w:p>
    <w:p w:rsidR="00F61241" w:rsidRDefault="00F61241">
      <w:pPr>
        <w:rPr>
          <w:sz w:val="24"/>
          <w:szCs w:val="24"/>
        </w:rPr>
      </w:pPr>
    </w:p>
    <w:p w:rsidR="00F61241" w:rsidRDefault="00F61241">
      <w:pPr>
        <w:rPr>
          <w:b/>
          <w:sz w:val="24"/>
          <w:szCs w:val="24"/>
          <w:u w:val="single"/>
        </w:rPr>
      </w:pPr>
      <w:r>
        <w:rPr>
          <w:b/>
          <w:sz w:val="24"/>
          <w:szCs w:val="24"/>
          <w:u w:val="single"/>
        </w:rPr>
        <w:t>Impact on pupil</w:t>
      </w:r>
      <w:r w:rsidRPr="00F61241">
        <w:rPr>
          <w:b/>
          <w:sz w:val="24"/>
          <w:szCs w:val="24"/>
          <w:u w:val="single"/>
        </w:rPr>
        <w:t xml:space="preserve"> progress and attainment</w:t>
      </w:r>
    </w:p>
    <w:p w:rsidR="00F61241" w:rsidRPr="00F61241" w:rsidRDefault="00F61241">
      <w:pP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78"/>
        <w:gridCol w:w="1113"/>
        <w:gridCol w:w="1112"/>
        <w:gridCol w:w="953"/>
        <w:gridCol w:w="1227"/>
        <w:gridCol w:w="1055"/>
        <w:gridCol w:w="1055"/>
        <w:gridCol w:w="1055"/>
      </w:tblGrid>
      <w:tr w:rsidR="00391AFE" w:rsidTr="00391AFE">
        <w:trPr>
          <w:cantSplit/>
          <w:trHeight w:val="2564"/>
        </w:trPr>
        <w:tc>
          <w:tcPr>
            <w:tcW w:w="1259" w:type="dxa"/>
            <w:shd w:val="clear" w:color="auto" w:fill="auto"/>
          </w:tcPr>
          <w:p w:rsidR="00391AFE" w:rsidRPr="002839F4" w:rsidRDefault="00391AFE" w:rsidP="004C10D4">
            <w:pPr>
              <w:pStyle w:val="Default"/>
              <w:rPr>
                <w:color w:val="auto"/>
              </w:rPr>
            </w:pPr>
            <w:r w:rsidRPr="002839F4">
              <w:rPr>
                <w:color w:val="auto"/>
              </w:rPr>
              <w:t>Subject</w:t>
            </w:r>
          </w:p>
        </w:tc>
        <w:tc>
          <w:tcPr>
            <w:tcW w:w="1278" w:type="dxa"/>
            <w:shd w:val="clear" w:color="auto" w:fill="auto"/>
            <w:textDirection w:val="tbRl"/>
          </w:tcPr>
          <w:p w:rsidR="00391AFE" w:rsidRPr="00EA1CE6" w:rsidRDefault="00391AFE" w:rsidP="00EA1CE6">
            <w:pPr>
              <w:pStyle w:val="Default"/>
              <w:ind w:left="113" w:right="113"/>
              <w:rPr>
                <w:color w:val="auto"/>
                <w:sz w:val="20"/>
                <w:szCs w:val="20"/>
              </w:rPr>
            </w:pPr>
            <w:r w:rsidRPr="00EA1CE6">
              <w:rPr>
                <w:color w:val="auto"/>
                <w:sz w:val="20"/>
                <w:szCs w:val="20"/>
              </w:rPr>
              <w:t xml:space="preserve">% of </w:t>
            </w:r>
            <w:r>
              <w:rPr>
                <w:color w:val="auto"/>
                <w:sz w:val="20"/>
                <w:szCs w:val="20"/>
              </w:rPr>
              <w:t xml:space="preserve">Pupil Premium </w:t>
            </w:r>
            <w:r w:rsidRPr="00EA1CE6">
              <w:rPr>
                <w:color w:val="auto"/>
                <w:sz w:val="20"/>
                <w:szCs w:val="20"/>
              </w:rPr>
              <w:t>pupils achieving age expected</w:t>
            </w:r>
            <w:r>
              <w:rPr>
                <w:color w:val="auto"/>
                <w:sz w:val="20"/>
                <w:szCs w:val="20"/>
              </w:rPr>
              <w:t xml:space="preserve"> attainment or better</w:t>
            </w:r>
          </w:p>
        </w:tc>
        <w:tc>
          <w:tcPr>
            <w:tcW w:w="1113" w:type="dxa"/>
            <w:shd w:val="clear" w:color="auto" w:fill="auto"/>
            <w:textDirection w:val="tbRl"/>
          </w:tcPr>
          <w:p w:rsidR="00391AFE" w:rsidRPr="00EA1CE6" w:rsidRDefault="00391AFE" w:rsidP="00EA1CE6">
            <w:pPr>
              <w:pStyle w:val="Default"/>
              <w:ind w:left="113" w:right="113"/>
              <w:rPr>
                <w:color w:val="auto"/>
                <w:sz w:val="20"/>
                <w:szCs w:val="20"/>
              </w:rPr>
            </w:pPr>
            <w:r w:rsidRPr="00EA1CE6">
              <w:rPr>
                <w:color w:val="auto"/>
                <w:sz w:val="20"/>
                <w:szCs w:val="20"/>
              </w:rPr>
              <w:t>% of pupils achieving age expected</w:t>
            </w:r>
            <w:r>
              <w:rPr>
                <w:color w:val="auto"/>
                <w:sz w:val="20"/>
                <w:szCs w:val="20"/>
              </w:rPr>
              <w:t xml:space="preserve"> attainment or better</w:t>
            </w:r>
            <w:r w:rsidRPr="00EA1CE6">
              <w:rPr>
                <w:color w:val="auto"/>
                <w:sz w:val="20"/>
                <w:szCs w:val="20"/>
              </w:rPr>
              <w:t xml:space="preserve"> whole school</w:t>
            </w:r>
          </w:p>
          <w:p w:rsidR="00391AFE" w:rsidRDefault="00391AFE" w:rsidP="00EA1CE6">
            <w:pPr>
              <w:pStyle w:val="Default"/>
              <w:ind w:left="113" w:right="113"/>
              <w:rPr>
                <w:color w:val="auto"/>
                <w:sz w:val="20"/>
                <w:szCs w:val="20"/>
              </w:rPr>
            </w:pPr>
          </w:p>
          <w:p w:rsidR="00391AFE" w:rsidRDefault="00391AFE" w:rsidP="00EA1CE6">
            <w:pPr>
              <w:pStyle w:val="Default"/>
              <w:ind w:left="113" w:right="113"/>
              <w:rPr>
                <w:color w:val="auto"/>
                <w:sz w:val="20"/>
                <w:szCs w:val="20"/>
              </w:rPr>
            </w:pPr>
          </w:p>
          <w:p w:rsidR="00391AFE" w:rsidRDefault="00391AFE" w:rsidP="00EA1CE6">
            <w:pPr>
              <w:pStyle w:val="Default"/>
              <w:ind w:left="113" w:right="113"/>
              <w:rPr>
                <w:color w:val="auto"/>
                <w:sz w:val="20"/>
                <w:szCs w:val="20"/>
              </w:rPr>
            </w:pPr>
          </w:p>
          <w:p w:rsidR="00391AFE" w:rsidRPr="00EA1CE6" w:rsidRDefault="00391AFE" w:rsidP="00EA1CE6">
            <w:pPr>
              <w:pStyle w:val="Default"/>
              <w:ind w:left="113" w:right="113"/>
              <w:rPr>
                <w:color w:val="auto"/>
                <w:sz w:val="20"/>
                <w:szCs w:val="20"/>
              </w:rPr>
            </w:pPr>
          </w:p>
        </w:tc>
        <w:tc>
          <w:tcPr>
            <w:tcW w:w="1112" w:type="dxa"/>
            <w:shd w:val="clear" w:color="auto" w:fill="auto"/>
            <w:textDirection w:val="tbRl"/>
          </w:tcPr>
          <w:p w:rsidR="00391AFE" w:rsidRPr="00EA1CE6" w:rsidRDefault="00391AFE" w:rsidP="00EA1CE6">
            <w:pPr>
              <w:pStyle w:val="Default"/>
              <w:ind w:left="113" w:right="113"/>
              <w:rPr>
                <w:color w:val="auto"/>
                <w:sz w:val="20"/>
                <w:szCs w:val="20"/>
              </w:rPr>
            </w:pPr>
            <w:r w:rsidRPr="00EA1CE6">
              <w:rPr>
                <w:color w:val="auto"/>
                <w:sz w:val="20"/>
                <w:szCs w:val="20"/>
              </w:rPr>
              <w:t xml:space="preserve">% of </w:t>
            </w:r>
            <w:r>
              <w:rPr>
                <w:color w:val="auto"/>
                <w:sz w:val="20"/>
                <w:szCs w:val="20"/>
              </w:rPr>
              <w:t xml:space="preserve">Pupil Premium </w:t>
            </w:r>
            <w:r w:rsidRPr="00EA1CE6">
              <w:rPr>
                <w:color w:val="auto"/>
                <w:sz w:val="20"/>
                <w:szCs w:val="20"/>
              </w:rPr>
              <w:t>pupils achieving age greater depth</w:t>
            </w:r>
          </w:p>
          <w:p w:rsidR="00391AFE" w:rsidRPr="00EA1CE6" w:rsidRDefault="00391AFE" w:rsidP="00EA1CE6">
            <w:pPr>
              <w:pStyle w:val="Default"/>
              <w:ind w:left="113" w:right="113"/>
              <w:rPr>
                <w:color w:val="auto"/>
                <w:sz w:val="20"/>
                <w:szCs w:val="20"/>
              </w:rPr>
            </w:pPr>
          </w:p>
        </w:tc>
        <w:tc>
          <w:tcPr>
            <w:tcW w:w="953" w:type="dxa"/>
            <w:textDirection w:val="tbRl"/>
          </w:tcPr>
          <w:p w:rsidR="00391AFE" w:rsidRPr="00EA1CE6" w:rsidRDefault="00391AFE" w:rsidP="00EA1CE6">
            <w:pPr>
              <w:pStyle w:val="Default"/>
              <w:ind w:left="113" w:right="113"/>
              <w:rPr>
                <w:color w:val="auto"/>
                <w:sz w:val="20"/>
                <w:szCs w:val="20"/>
              </w:rPr>
            </w:pPr>
            <w:r w:rsidRPr="00EA1CE6">
              <w:rPr>
                <w:color w:val="auto"/>
                <w:sz w:val="20"/>
                <w:szCs w:val="20"/>
              </w:rPr>
              <w:t>% of pupils achieving age greater depth whole school</w:t>
            </w:r>
          </w:p>
          <w:p w:rsidR="00391AFE" w:rsidRPr="00EA1CE6" w:rsidRDefault="00391AFE" w:rsidP="00EA1CE6">
            <w:pPr>
              <w:pStyle w:val="Default"/>
              <w:ind w:left="113" w:right="113"/>
              <w:rPr>
                <w:color w:val="auto"/>
                <w:sz w:val="20"/>
                <w:szCs w:val="20"/>
              </w:rPr>
            </w:pPr>
            <w:r w:rsidRPr="00EA1CE6">
              <w:rPr>
                <w:color w:val="auto"/>
                <w:sz w:val="20"/>
                <w:szCs w:val="20"/>
              </w:rPr>
              <w:t>2018</w:t>
            </w:r>
          </w:p>
        </w:tc>
        <w:tc>
          <w:tcPr>
            <w:tcW w:w="1227" w:type="dxa"/>
            <w:textDirection w:val="tbRl"/>
          </w:tcPr>
          <w:p w:rsidR="00391AFE" w:rsidRPr="00EA1CE6" w:rsidRDefault="00391AFE" w:rsidP="00EA1CE6">
            <w:pPr>
              <w:pStyle w:val="Default"/>
              <w:ind w:left="113" w:right="113"/>
              <w:rPr>
                <w:color w:val="auto"/>
                <w:sz w:val="20"/>
                <w:szCs w:val="20"/>
              </w:rPr>
            </w:pPr>
            <w:r>
              <w:rPr>
                <w:color w:val="auto"/>
                <w:sz w:val="20"/>
                <w:szCs w:val="20"/>
              </w:rPr>
              <w:t>% of Pupil Premium pupils making expected progress</w:t>
            </w:r>
          </w:p>
        </w:tc>
        <w:tc>
          <w:tcPr>
            <w:tcW w:w="1055" w:type="dxa"/>
            <w:textDirection w:val="tbRl"/>
          </w:tcPr>
          <w:p w:rsidR="00391AFE" w:rsidRPr="00EA1CE6" w:rsidRDefault="00391AFE" w:rsidP="00EA1CE6">
            <w:pPr>
              <w:pStyle w:val="Default"/>
              <w:ind w:left="113" w:right="113"/>
              <w:rPr>
                <w:color w:val="auto"/>
                <w:sz w:val="20"/>
                <w:szCs w:val="20"/>
              </w:rPr>
            </w:pPr>
            <w:r>
              <w:rPr>
                <w:color w:val="auto"/>
                <w:sz w:val="20"/>
                <w:szCs w:val="20"/>
              </w:rPr>
              <w:t>% of pupils making expected progress whole school</w:t>
            </w:r>
          </w:p>
        </w:tc>
        <w:tc>
          <w:tcPr>
            <w:tcW w:w="1055" w:type="dxa"/>
            <w:textDirection w:val="tbRl"/>
          </w:tcPr>
          <w:p w:rsidR="00391AFE" w:rsidRPr="00EA1CE6" w:rsidRDefault="00391AFE" w:rsidP="00EA1CE6">
            <w:pPr>
              <w:pStyle w:val="Default"/>
              <w:ind w:left="113" w:right="113"/>
              <w:rPr>
                <w:color w:val="auto"/>
                <w:sz w:val="20"/>
                <w:szCs w:val="20"/>
              </w:rPr>
            </w:pPr>
            <w:r>
              <w:rPr>
                <w:color w:val="auto"/>
                <w:sz w:val="20"/>
                <w:szCs w:val="20"/>
              </w:rPr>
              <w:t>% of Pupil Premium pupils making more than expected progress</w:t>
            </w:r>
          </w:p>
        </w:tc>
        <w:tc>
          <w:tcPr>
            <w:tcW w:w="1055" w:type="dxa"/>
            <w:textDirection w:val="tbRl"/>
          </w:tcPr>
          <w:p w:rsidR="00391AFE" w:rsidRPr="00EA1CE6" w:rsidRDefault="00391AFE" w:rsidP="00EA1CE6">
            <w:pPr>
              <w:pStyle w:val="Default"/>
              <w:ind w:left="113" w:right="113"/>
              <w:rPr>
                <w:color w:val="auto"/>
                <w:sz w:val="20"/>
                <w:szCs w:val="20"/>
              </w:rPr>
            </w:pPr>
            <w:r>
              <w:rPr>
                <w:color w:val="auto"/>
                <w:sz w:val="20"/>
                <w:szCs w:val="20"/>
              </w:rPr>
              <w:t>% of pupils making more than expected progress –whole school</w:t>
            </w:r>
          </w:p>
        </w:tc>
      </w:tr>
      <w:tr w:rsidR="00391AFE" w:rsidTr="00391AFE">
        <w:trPr>
          <w:trHeight w:val="268"/>
        </w:trPr>
        <w:tc>
          <w:tcPr>
            <w:tcW w:w="1259" w:type="dxa"/>
            <w:shd w:val="clear" w:color="auto" w:fill="auto"/>
          </w:tcPr>
          <w:p w:rsidR="00391AFE" w:rsidRPr="002839F4" w:rsidRDefault="00391AFE" w:rsidP="004C10D4">
            <w:pPr>
              <w:pStyle w:val="Default"/>
              <w:rPr>
                <w:color w:val="auto"/>
              </w:rPr>
            </w:pPr>
            <w:r w:rsidRPr="002839F4">
              <w:rPr>
                <w:color w:val="auto"/>
              </w:rPr>
              <w:t>Maths</w:t>
            </w:r>
          </w:p>
        </w:tc>
        <w:tc>
          <w:tcPr>
            <w:tcW w:w="1278" w:type="dxa"/>
            <w:shd w:val="clear" w:color="auto" w:fill="auto"/>
          </w:tcPr>
          <w:p w:rsidR="00391AFE" w:rsidRPr="002839F4" w:rsidRDefault="00391AFE" w:rsidP="004C10D4">
            <w:pPr>
              <w:pStyle w:val="Default"/>
              <w:rPr>
                <w:color w:val="auto"/>
              </w:rPr>
            </w:pPr>
            <w:r>
              <w:rPr>
                <w:color w:val="auto"/>
              </w:rPr>
              <w:t>78.6%</w:t>
            </w:r>
          </w:p>
        </w:tc>
        <w:tc>
          <w:tcPr>
            <w:tcW w:w="1113" w:type="dxa"/>
            <w:shd w:val="clear" w:color="auto" w:fill="auto"/>
          </w:tcPr>
          <w:p w:rsidR="00391AFE" w:rsidRPr="002839F4" w:rsidRDefault="00391AFE" w:rsidP="004C10D4">
            <w:pPr>
              <w:pStyle w:val="Default"/>
              <w:rPr>
                <w:color w:val="auto"/>
              </w:rPr>
            </w:pPr>
            <w:r>
              <w:rPr>
                <w:color w:val="auto"/>
              </w:rPr>
              <w:t>84%</w:t>
            </w:r>
          </w:p>
        </w:tc>
        <w:tc>
          <w:tcPr>
            <w:tcW w:w="1112" w:type="dxa"/>
            <w:shd w:val="clear" w:color="auto" w:fill="auto"/>
          </w:tcPr>
          <w:p w:rsidR="00391AFE" w:rsidRPr="002839F4" w:rsidRDefault="00391AFE" w:rsidP="004C10D4">
            <w:pPr>
              <w:pStyle w:val="Default"/>
              <w:rPr>
                <w:color w:val="auto"/>
              </w:rPr>
            </w:pPr>
            <w:r>
              <w:rPr>
                <w:color w:val="auto"/>
              </w:rPr>
              <w:t>25%</w:t>
            </w:r>
          </w:p>
        </w:tc>
        <w:tc>
          <w:tcPr>
            <w:tcW w:w="953" w:type="dxa"/>
          </w:tcPr>
          <w:p w:rsidR="00391AFE" w:rsidRPr="002839F4" w:rsidRDefault="00391AFE" w:rsidP="004C10D4">
            <w:pPr>
              <w:pStyle w:val="Default"/>
              <w:rPr>
                <w:color w:val="auto"/>
              </w:rPr>
            </w:pPr>
            <w:r>
              <w:rPr>
                <w:color w:val="auto"/>
              </w:rPr>
              <w:t>37%</w:t>
            </w:r>
          </w:p>
        </w:tc>
        <w:tc>
          <w:tcPr>
            <w:tcW w:w="1227" w:type="dxa"/>
          </w:tcPr>
          <w:p w:rsidR="00391AFE" w:rsidRPr="002839F4" w:rsidRDefault="00391AFE" w:rsidP="004C10D4">
            <w:pPr>
              <w:pStyle w:val="Default"/>
              <w:rPr>
                <w:color w:val="auto"/>
              </w:rPr>
            </w:pPr>
            <w:r>
              <w:rPr>
                <w:color w:val="auto"/>
              </w:rPr>
              <w:t>100%</w:t>
            </w:r>
          </w:p>
        </w:tc>
        <w:tc>
          <w:tcPr>
            <w:tcW w:w="1055" w:type="dxa"/>
          </w:tcPr>
          <w:p w:rsidR="00391AFE" w:rsidRPr="002839F4" w:rsidRDefault="00391AFE" w:rsidP="004C10D4">
            <w:pPr>
              <w:pStyle w:val="Default"/>
              <w:rPr>
                <w:color w:val="auto"/>
              </w:rPr>
            </w:pPr>
            <w:r>
              <w:rPr>
                <w:color w:val="auto"/>
              </w:rPr>
              <w:t>95%</w:t>
            </w:r>
          </w:p>
        </w:tc>
        <w:tc>
          <w:tcPr>
            <w:tcW w:w="1055" w:type="dxa"/>
          </w:tcPr>
          <w:p w:rsidR="00391AFE" w:rsidRPr="002839F4" w:rsidRDefault="00391AFE" w:rsidP="004C10D4">
            <w:pPr>
              <w:pStyle w:val="Default"/>
              <w:rPr>
                <w:color w:val="auto"/>
              </w:rPr>
            </w:pPr>
            <w:r>
              <w:rPr>
                <w:color w:val="auto"/>
              </w:rPr>
              <w:t>40%</w:t>
            </w:r>
          </w:p>
        </w:tc>
        <w:tc>
          <w:tcPr>
            <w:tcW w:w="1055" w:type="dxa"/>
          </w:tcPr>
          <w:p w:rsidR="00391AFE" w:rsidRPr="002839F4" w:rsidRDefault="00391AFE" w:rsidP="004C10D4">
            <w:pPr>
              <w:pStyle w:val="Default"/>
              <w:rPr>
                <w:color w:val="auto"/>
              </w:rPr>
            </w:pPr>
            <w:r>
              <w:rPr>
                <w:color w:val="auto"/>
              </w:rPr>
              <w:t>42%</w:t>
            </w:r>
          </w:p>
        </w:tc>
      </w:tr>
      <w:tr w:rsidR="00391AFE" w:rsidTr="00391AFE">
        <w:trPr>
          <w:trHeight w:val="248"/>
        </w:trPr>
        <w:tc>
          <w:tcPr>
            <w:tcW w:w="1259" w:type="dxa"/>
            <w:shd w:val="clear" w:color="auto" w:fill="auto"/>
          </w:tcPr>
          <w:p w:rsidR="00391AFE" w:rsidRPr="002839F4" w:rsidRDefault="00391AFE" w:rsidP="004C10D4">
            <w:pPr>
              <w:pStyle w:val="Default"/>
              <w:rPr>
                <w:color w:val="auto"/>
              </w:rPr>
            </w:pPr>
            <w:r w:rsidRPr="002839F4">
              <w:rPr>
                <w:color w:val="auto"/>
              </w:rPr>
              <w:t xml:space="preserve">Reading </w:t>
            </w:r>
          </w:p>
        </w:tc>
        <w:tc>
          <w:tcPr>
            <w:tcW w:w="1278" w:type="dxa"/>
            <w:shd w:val="clear" w:color="auto" w:fill="auto"/>
          </w:tcPr>
          <w:p w:rsidR="00391AFE" w:rsidRPr="002839F4" w:rsidRDefault="00391AFE" w:rsidP="004C10D4">
            <w:pPr>
              <w:pStyle w:val="Default"/>
              <w:rPr>
                <w:color w:val="auto"/>
              </w:rPr>
            </w:pPr>
            <w:r>
              <w:rPr>
                <w:color w:val="auto"/>
              </w:rPr>
              <w:t>92.9%</w:t>
            </w:r>
          </w:p>
        </w:tc>
        <w:tc>
          <w:tcPr>
            <w:tcW w:w="1113" w:type="dxa"/>
            <w:shd w:val="clear" w:color="auto" w:fill="auto"/>
          </w:tcPr>
          <w:p w:rsidR="00391AFE" w:rsidRPr="002839F4" w:rsidRDefault="00391AFE" w:rsidP="004C10D4">
            <w:pPr>
              <w:pStyle w:val="Default"/>
              <w:rPr>
                <w:color w:val="auto"/>
              </w:rPr>
            </w:pPr>
            <w:r>
              <w:rPr>
                <w:color w:val="auto"/>
              </w:rPr>
              <w:t>85.2%</w:t>
            </w:r>
          </w:p>
        </w:tc>
        <w:tc>
          <w:tcPr>
            <w:tcW w:w="1112" w:type="dxa"/>
            <w:shd w:val="clear" w:color="auto" w:fill="auto"/>
          </w:tcPr>
          <w:p w:rsidR="00391AFE" w:rsidRPr="002839F4" w:rsidRDefault="00391AFE" w:rsidP="004C10D4">
            <w:pPr>
              <w:pStyle w:val="Default"/>
              <w:rPr>
                <w:color w:val="auto"/>
              </w:rPr>
            </w:pPr>
            <w:r>
              <w:rPr>
                <w:color w:val="auto"/>
              </w:rPr>
              <w:t>35.7%</w:t>
            </w:r>
          </w:p>
        </w:tc>
        <w:tc>
          <w:tcPr>
            <w:tcW w:w="953" w:type="dxa"/>
          </w:tcPr>
          <w:p w:rsidR="00391AFE" w:rsidRPr="002839F4" w:rsidRDefault="00391AFE" w:rsidP="004C10D4">
            <w:pPr>
              <w:pStyle w:val="Default"/>
              <w:rPr>
                <w:color w:val="auto"/>
              </w:rPr>
            </w:pPr>
            <w:r>
              <w:rPr>
                <w:color w:val="auto"/>
              </w:rPr>
              <w:t>50%</w:t>
            </w:r>
          </w:p>
        </w:tc>
        <w:tc>
          <w:tcPr>
            <w:tcW w:w="1227" w:type="dxa"/>
          </w:tcPr>
          <w:p w:rsidR="00391AFE" w:rsidRPr="002839F4" w:rsidRDefault="00391AFE" w:rsidP="004C10D4">
            <w:pPr>
              <w:pStyle w:val="Default"/>
              <w:rPr>
                <w:color w:val="auto"/>
              </w:rPr>
            </w:pPr>
            <w:r>
              <w:rPr>
                <w:color w:val="auto"/>
              </w:rPr>
              <w:t>100%</w:t>
            </w:r>
          </w:p>
        </w:tc>
        <w:tc>
          <w:tcPr>
            <w:tcW w:w="1055" w:type="dxa"/>
          </w:tcPr>
          <w:p w:rsidR="00391AFE" w:rsidRPr="002839F4" w:rsidRDefault="00391AFE" w:rsidP="004C10D4">
            <w:pPr>
              <w:pStyle w:val="Default"/>
              <w:rPr>
                <w:color w:val="auto"/>
              </w:rPr>
            </w:pPr>
            <w:r>
              <w:rPr>
                <w:color w:val="auto"/>
              </w:rPr>
              <w:t>97.5%</w:t>
            </w:r>
          </w:p>
        </w:tc>
        <w:tc>
          <w:tcPr>
            <w:tcW w:w="1055" w:type="dxa"/>
          </w:tcPr>
          <w:p w:rsidR="00391AFE" w:rsidRPr="002839F4" w:rsidRDefault="00391AFE" w:rsidP="004C10D4">
            <w:pPr>
              <w:pStyle w:val="Default"/>
              <w:rPr>
                <w:color w:val="auto"/>
              </w:rPr>
            </w:pPr>
            <w:r>
              <w:rPr>
                <w:color w:val="auto"/>
              </w:rPr>
              <w:t>66.7%</w:t>
            </w:r>
          </w:p>
        </w:tc>
        <w:tc>
          <w:tcPr>
            <w:tcW w:w="1055" w:type="dxa"/>
          </w:tcPr>
          <w:p w:rsidR="00391AFE" w:rsidRPr="002839F4" w:rsidRDefault="00391AFE" w:rsidP="004C10D4">
            <w:pPr>
              <w:pStyle w:val="Default"/>
              <w:rPr>
                <w:color w:val="auto"/>
              </w:rPr>
            </w:pPr>
            <w:r>
              <w:rPr>
                <w:color w:val="auto"/>
              </w:rPr>
              <w:t>45%</w:t>
            </w:r>
          </w:p>
        </w:tc>
      </w:tr>
      <w:tr w:rsidR="00391AFE" w:rsidTr="00391AFE">
        <w:trPr>
          <w:trHeight w:val="248"/>
        </w:trPr>
        <w:tc>
          <w:tcPr>
            <w:tcW w:w="1259" w:type="dxa"/>
            <w:shd w:val="clear" w:color="auto" w:fill="auto"/>
          </w:tcPr>
          <w:p w:rsidR="00391AFE" w:rsidRPr="002839F4" w:rsidRDefault="00391AFE" w:rsidP="004C10D4">
            <w:pPr>
              <w:pStyle w:val="Default"/>
              <w:rPr>
                <w:color w:val="auto"/>
              </w:rPr>
            </w:pPr>
            <w:r w:rsidRPr="002839F4">
              <w:rPr>
                <w:color w:val="auto"/>
              </w:rPr>
              <w:t>Writing</w:t>
            </w:r>
          </w:p>
        </w:tc>
        <w:tc>
          <w:tcPr>
            <w:tcW w:w="1278" w:type="dxa"/>
            <w:shd w:val="clear" w:color="auto" w:fill="auto"/>
          </w:tcPr>
          <w:p w:rsidR="00391AFE" w:rsidRPr="002839F4" w:rsidRDefault="00391AFE" w:rsidP="004C10D4">
            <w:pPr>
              <w:pStyle w:val="Default"/>
              <w:rPr>
                <w:color w:val="auto"/>
              </w:rPr>
            </w:pPr>
            <w:r>
              <w:rPr>
                <w:color w:val="auto"/>
              </w:rPr>
              <w:t>78.6%</w:t>
            </w:r>
          </w:p>
        </w:tc>
        <w:tc>
          <w:tcPr>
            <w:tcW w:w="1113" w:type="dxa"/>
            <w:shd w:val="clear" w:color="auto" w:fill="auto"/>
          </w:tcPr>
          <w:p w:rsidR="00391AFE" w:rsidRPr="002839F4" w:rsidRDefault="00391AFE" w:rsidP="004C10D4">
            <w:pPr>
              <w:pStyle w:val="Default"/>
              <w:rPr>
                <w:color w:val="auto"/>
              </w:rPr>
            </w:pPr>
            <w:r>
              <w:rPr>
                <w:color w:val="auto"/>
              </w:rPr>
              <w:t>80.5%</w:t>
            </w:r>
          </w:p>
        </w:tc>
        <w:tc>
          <w:tcPr>
            <w:tcW w:w="1112" w:type="dxa"/>
            <w:shd w:val="clear" w:color="auto" w:fill="auto"/>
          </w:tcPr>
          <w:p w:rsidR="00391AFE" w:rsidRPr="002839F4" w:rsidRDefault="00391AFE" w:rsidP="004C10D4">
            <w:pPr>
              <w:pStyle w:val="Default"/>
              <w:rPr>
                <w:color w:val="auto"/>
              </w:rPr>
            </w:pPr>
            <w:r>
              <w:rPr>
                <w:color w:val="auto"/>
              </w:rPr>
              <w:t>14.3%</w:t>
            </w:r>
          </w:p>
        </w:tc>
        <w:tc>
          <w:tcPr>
            <w:tcW w:w="953" w:type="dxa"/>
          </w:tcPr>
          <w:p w:rsidR="00391AFE" w:rsidRPr="002839F4" w:rsidRDefault="00391AFE" w:rsidP="004C10D4">
            <w:pPr>
              <w:pStyle w:val="Default"/>
              <w:rPr>
                <w:color w:val="auto"/>
              </w:rPr>
            </w:pPr>
            <w:r>
              <w:rPr>
                <w:color w:val="auto"/>
              </w:rPr>
              <w:t>38%</w:t>
            </w:r>
          </w:p>
        </w:tc>
        <w:tc>
          <w:tcPr>
            <w:tcW w:w="1227" w:type="dxa"/>
          </w:tcPr>
          <w:p w:rsidR="00391AFE" w:rsidRPr="002839F4" w:rsidRDefault="00391AFE" w:rsidP="004C10D4">
            <w:pPr>
              <w:pStyle w:val="Default"/>
              <w:rPr>
                <w:color w:val="auto"/>
              </w:rPr>
            </w:pPr>
            <w:r>
              <w:rPr>
                <w:color w:val="auto"/>
              </w:rPr>
              <w:t>100%</w:t>
            </w:r>
          </w:p>
        </w:tc>
        <w:tc>
          <w:tcPr>
            <w:tcW w:w="1055" w:type="dxa"/>
          </w:tcPr>
          <w:p w:rsidR="00391AFE" w:rsidRPr="002839F4" w:rsidRDefault="00391AFE" w:rsidP="004C10D4">
            <w:pPr>
              <w:pStyle w:val="Default"/>
              <w:rPr>
                <w:color w:val="auto"/>
              </w:rPr>
            </w:pPr>
            <w:r>
              <w:rPr>
                <w:color w:val="auto"/>
              </w:rPr>
              <w:t>97%</w:t>
            </w:r>
          </w:p>
        </w:tc>
        <w:tc>
          <w:tcPr>
            <w:tcW w:w="1055" w:type="dxa"/>
          </w:tcPr>
          <w:p w:rsidR="00391AFE" w:rsidRPr="002839F4" w:rsidRDefault="00391AFE" w:rsidP="004C10D4">
            <w:pPr>
              <w:pStyle w:val="Default"/>
              <w:rPr>
                <w:color w:val="auto"/>
              </w:rPr>
            </w:pPr>
            <w:r>
              <w:rPr>
                <w:color w:val="auto"/>
              </w:rPr>
              <w:t>50%</w:t>
            </w:r>
          </w:p>
        </w:tc>
        <w:tc>
          <w:tcPr>
            <w:tcW w:w="1055" w:type="dxa"/>
          </w:tcPr>
          <w:p w:rsidR="00391AFE" w:rsidRPr="002839F4" w:rsidRDefault="00391AFE" w:rsidP="004C10D4">
            <w:pPr>
              <w:pStyle w:val="Default"/>
              <w:rPr>
                <w:color w:val="auto"/>
              </w:rPr>
            </w:pPr>
            <w:r>
              <w:rPr>
                <w:color w:val="auto"/>
              </w:rPr>
              <w:t>44%</w:t>
            </w:r>
          </w:p>
        </w:tc>
      </w:tr>
    </w:tbl>
    <w:p w:rsidR="00BD65B7" w:rsidRDefault="00BD65B7" w:rsidP="004C10D4">
      <w:pPr>
        <w:pStyle w:val="Default"/>
        <w:rPr>
          <w:color w:val="auto"/>
        </w:rPr>
      </w:pPr>
    </w:p>
    <w:p w:rsidR="008F7B06" w:rsidRDefault="008F7B06" w:rsidP="004C10D4">
      <w:pPr>
        <w:pStyle w:val="Default"/>
        <w:rPr>
          <w:rFonts w:asciiTheme="minorHAnsi" w:hAnsiTheme="minorHAnsi" w:cstheme="minorHAnsi"/>
          <w:color w:val="auto"/>
        </w:rPr>
      </w:pPr>
      <w:r w:rsidRPr="008F7B06">
        <w:rPr>
          <w:rFonts w:asciiTheme="minorHAnsi" w:hAnsiTheme="minorHAnsi" w:cstheme="minorHAnsi"/>
          <w:color w:val="auto"/>
        </w:rPr>
        <w:t xml:space="preserve">Pupils who receive </w:t>
      </w:r>
      <w:r w:rsidR="004C10D4" w:rsidRPr="008F7B06">
        <w:rPr>
          <w:rFonts w:asciiTheme="minorHAnsi" w:hAnsiTheme="minorHAnsi" w:cstheme="minorHAnsi"/>
          <w:color w:val="auto"/>
        </w:rPr>
        <w:t>Pupi</w:t>
      </w:r>
      <w:r>
        <w:rPr>
          <w:rFonts w:asciiTheme="minorHAnsi" w:hAnsiTheme="minorHAnsi" w:cstheme="minorHAnsi"/>
          <w:color w:val="auto"/>
        </w:rPr>
        <w:t>l Premium make excellent progress and progress in line with or better than their peers, with many making accelerated progress</w:t>
      </w:r>
      <w:r w:rsidR="004C10D4" w:rsidRPr="008F7B06">
        <w:rPr>
          <w:rFonts w:asciiTheme="minorHAnsi" w:hAnsiTheme="minorHAnsi" w:cstheme="minorHAnsi"/>
          <w:color w:val="auto"/>
        </w:rPr>
        <w:t>.</w:t>
      </w:r>
      <w:r>
        <w:rPr>
          <w:rFonts w:asciiTheme="minorHAnsi" w:hAnsiTheme="minorHAnsi" w:cstheme="minorHAnsi"/>
          <w:color w:val="auto"/>
        </w:rPr>
        <w:t xml:space="preserve"> Allowing for the small numbers available for comparison attainment is in line or very close to whole school levels. </w:t>
      </w:r>
    </w:p>
    <w:p w:rsidR="008F7B06" w:rsidRDefault="008F7B06" w:rsidP="004C10D4">
      <w:pPr>
        <w:pStyle w:val="Default"/>
        <w:rPr>
          <w:rFonts w:asciiTheme="minorHAnsi" w:hAnsiTheme="minorHAnsi" w:cstheme="minorHAnsi"/>
          <w:color w:val="auto"/>
        </w:rPr>
      </w:pPr>
    </w:p>
    <w:p w:rsidR="004C10D4" w:rsidRPr="008F7B06" w:rsidRDefault="008F7B06" w:rsidP="004C10D4">
      <w:pPr>
        <w:pStyle w:val="Default"/>
        <w:rPr>
          <w:rFonts w:asciiTheme="minorHAnsi" w:hAnsiTheme="minorHAnsi" w:cstheme="minorHAnsi"/>
          <w:color w:val="auto"/>
        </w:rPr>
      </w:pPr>
      <w:r>
        <w:rPr>
          <w:rFonts w:asciiTheme="minorHAnsi" w:hAnsiTheme="minorHAnsi" w:cstheme="minorHAnsi"/>
          <w:color w:val="auto"/>
        </w:rPr>
        <w:t xml:space="preserve">Achieving greater depth is a school development plan target; chess teaching was introduced in the summer term for years 2 – 6 to further develop this. </w:t>
      </w:r>
    </w:p>
    <w:p w:rsidR="004C10D4" w:rsidRDefault="004C10D4"/>
    <w:sectPr w:rsidR="004C10D4" w:rsidSect="00E050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D4"/>
    <w:rsid w:val="0002700C"/>
    <w:rsid w:val="00391AFE"/>
    <w:rsid w:val="0047672E"/>
    <w:rsid w:val="004C10D4"/>
    <w:rsid w:val="0057382B"/>
    <w:rsid w:val="00704B31"/>
    <w:rsid w:val="008269AC"/>
    <w:rsid w:val="008F78BF"/>
    <w:rsid w:val="008F7B06"/>
    <w:rsid w:val="00A65AD2"/>
    <w:rsid w:val="00B642AF"/>
    <w:rsid w:val="00BD65B7"/>
    <w:rsid w:val="00E0508B"/>
    <w:rsid w:val="00EA1CE6"/>
    <w:rsid w:val="00F61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162C1-08B9-4027-998D-9CC4EB61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0D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02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Mander</dc:creator>
  <cp:keywords/>
  <dc:description/>
  <cp:lastModifiedBy>Iestyn Lewis</cp:lastModifiedBy>
  <cp:revision>2</cp:revision>
  <dcterms:created xsi:type="dcterms:W3CDTF">2021-03-10T14:37:00Z</dcterms:created>
  <dcterms:modified xsi:type="dcterms:W3CDTF">2021-03-10T14:37:00Z</dcterms:modified>
</cp:coreProperties>
</file>